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3CB7C1">
      <w:pPr>
        <w:jc w:val="center"/>
        <w:rPr>
          <w:rFonts w:hint="eastAsia"/>
          <w:b/>
          <w:bCs/>
          <w:sz w:val="24"/>
          <w:szCs w:val="32"/>
          <w:lang w:val="en-US" w:eastAsia="zh-CN"/>
        </w:rPr>
      </w:pPr>
      <w:r>
        <w:rPr>
          <w:rFonts w:hint="eastAsia"/>
          <w:b/>
          <w:bCs/>
          <w:sz w:val="24"/>
          <w:szCs w:val="32"/>
          <w:lang w:val="en-US" w:eastAsia="zh-CN"/>
        </w:rPr>
        <w:t>亲身案例，</w:t>
      </w:r>
      <w:bookmarkStart w:id="0" w:name="_GoBack"/>
      <w:bookmarkEnd w:id="0"/>
      <w:r>
        <w:rPr>
          <w:rFonts w:hint="eastAsia"/>
          <w:b/>
          <w:bCs/>
          <w:sz w:val="24"/>
          <w:szCs w:val="32"/>
          <w:lang w:val="en-US" w:eastAsia="zh-CN"/>
        </w:rPr>
        <w:t>一人公司股东提供审计报告证明财产独立怎么办？</w:t>
      </w:r>
    </w:p>
    <w:p w14:paraId="0852E036">
      <w:pPr>
        <w:jc w:val="both"/>
        <w:rPr>
          <w:rFonts w:hint="eastAsia"/>
          <w:sz w:val="24"/>
          <w:szCs w:val="32"/>
          <w:lang w:val="en-US" w:eastAsia="zh-CN"/>
        </w:rPr>
      </w:pPr>
    </w:p>
    <w:p w14:paraId="0FBD7B3B">
      <w:pPr>
        <w:jc w:val="both"/>
        <w:rPr>
          <w:rFonts w:hint="default"/>
          <w:sz w:val="24"/>
          <w:szCs w:val="32"/>
          <w:lang w:val="en-US" w:eastAsia="zh-CN"/>
        </w:rPr>
      </w:pPr>
    </w:p>
    <w:p w14:paraId="04C58692">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sz w:val="24"/>
          <w:szCs w:val="32"/>
          <w:lang w:val="en-US" w:eastAsia="zh-CN"/>
        </w:rPr>
      </w:pPr>
      <w:r>
        <w:rPr>
          <w:rFonts w:hint="eastAsia"/>
          <w:sz w:val="24"/>
          <w:szCs w:val="32"/>
          <w:lang w:val="en-US" w:eastAsia="zh-CN"/>
        </w:rPr>
        <w:t xml:space="preserve">   2018年公司法第63条规定：一人有限责任公司的股东不能证明公司财产独立于股东自己的财产的，应当对公司债务承担连带责任。</w:t>
      </w:r>
    </w:p>
    <w:p w14:paraId="6B35EBF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sz w:val="24"/>
          <w:szCs w:val="32"/>
          <w:lang w:val="en-US" w:eastAsia="zh-CN"/>
        </w:rPr>
      </w:pPr>
      <w:r>
        <w:rPr>
          <w:rFonts w:hint="eastAsia"/>
          <w:sz w:val="24"/>
          <w:szCs w:val="32"/>
          <w:lang w:val="en-US" w:eastAsia="zh-CN"/>
        </w:rPr>
        <w:t xml:space="preserve">   新公司法第23条第3款：只有一个股东的公司，股东不能证明公司财产独立于股东自己的财产的，应当对公司债务承担连带责任。</w:t>
      </w:r>
    </w:p>
    <w:p w14:paraId="18B00DFC">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eastAsia"/>
          <w:sz w:val="24"/>
          <w:szCs w:val="32"/>
          <w:lang w:val="en-US" w:eastAsia="zh-CN"/>
        </w:rPr>
      </w:pPr>
      <w:r>
        <w:rPr>
          <w:rFonts w:hint="eastAsia"/>
          <w:sz w:val="24"/>
          <w:szCs w:val="32"/>
          <w:lang w:val="en-US" w:eastAsia="zh-CN"/>
        </w:rPr>
        <w:t>表明看起来视乎没有什么区别，新公司法23条将其与非一人公司股东的承担连带债务责任作为一个法条，可以说更加准确。都是属于公司人格否认的情况，相对于前2款，只是天然的认为推定存在财产混同的情形，应当由该股东自证清白，股东资产与公司资产不混同。</w:t>
      </w:r>
    </w:p>
    <w:p w14:paraId="394DC7D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sz w:val="24"/>
          <w:szCs w:val="32"/>
          <w:lang w:val="en-US" w:eastAsia="zh-CN"/>
        </w:rPr>
      </w:pPr>
      <w:r>
        <w:rPr>
          <w:rFonts w:hint="eastAsia"/>
          <w:b/>
          <w:bCs/>
          <w:sz w:val="24"/>
          <w:szCs w:val="32"/>
          <w:lang w:val="en-US" w:eastAsia="zh-CN"/>
        </w:rPr>
        <w:t>一</w:t>
      </w:r>
      <w:r>
        <w:rPr>
          <w:rFonts w:hint="eastAsia" w:ascii="微软雅黑" w:hAnsi="微软雅黑" w:eastAsia="微软雅黑" w:cs="微软雅黑"/>
          <w:b/>
          <w:bCs/>
          <w:sz w:val="24"/>
          <w:szCs w:val="32"/>
          <w:lang w:val="en-US" w:eastAsia="zh-CN"/>
        </w:rPr>
        <w:t>、</w:t>
      </w:r>
      <w:r>
        <w:rPr>
          <w:rFonts w:hint="eastAsia"/>
          <w:b/>
          <w:bCs/>
          <w:sz w:val="24"/>
          <w:szCs w:val="32"/>
          <w:lang w:val="en-US" w:eastAsia="zh-CN"/>
        </w:rPr>
        <w:t>涉案情况</w:t>
      </w:r>
    </w:p>
    <w:p w14:paraId="566B77C9">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sz w:val="24"/>
          <w:szCs w:val="32"/>
          <w:lang w:val="en-US" w:eastAsia="zh-CN"/>
        </w:rPr>
      </w:pPr>
      <w:r>
        <w:rPr>
          <w:rFonts w:hint="eastAsia"/>
          <w:sz w:val="24"/>
          <w:szCs w:val="32"/>
          <w:lang w:val="en-US" w:eastAsia="zh-CN"/>
        </w:rPr>
        <w:t>我本人近期代理的一个案件，一起起诉了一人公司股东要求承担连带责任。对方提交成立公司以来每年的常规年度审计报告和专项审计报告，以此证明股东财产独立于公司财产，还有其他房屋租赁合同、人员社保缴纳、纳税证明等，企图撇清责任。</w:t>
      </w:r>
    </w:p>
    <w:p w14:paraId="5418968E">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eastAsia"/>
          <w:sz w:val="24"/>
          <w:szCs w:val="32"/>
          <w:lang w:val="en-US" w:eastAsia="zh-CN"/>
        </w:rPr>
      </w:pPr>
      <w:r>
        <w:rPr>
          <w:rFonts w:hint="eastAsia"/>
          <w:sz w:val="24"/>
          <w:szCs w:val="32"/>
          <w:lang w:val="en-US" w:eastAsia="zh-CN"/>
        </w:rPr>
        <w:t>说实话，实践中大部分被告都没有这个意识，我也是第一次碰到这个情况。于是查询了很多案例，包括最高院的案例，几乎都是认定被告已经初步完成举证责任，需要原告债权人提供相反证据。</w:t>
      </w:r>
    </w:p>
    <w:p w14:paraId="3C59F397">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eastAsia"/>
          <w:sz w:val="24"/>
          <w:szCs w:val="32"/>
          <w:lang w:val="en-US" w:eastAsia="zh-CN"/>
        </w:rPr>
      </w:pPr>
      <w:r>
        <w:rPr>
          <w:rFonts w:hint="eastAsia"/>
          <w:sz w:val="24"/>
          <w:szCs w:val="32"/>
          <w:lang w:val="en-US" w:eastAsia="zh-CN"/>
        </w:rPr>
        <w:t>我们熟悉了解证据，发现对方在涉案债务发生后起诉前，将股权转让给2个高龄老人。还发现常规审计报告中的部分数据与专项审计报告数据存在诸多数据不一致的地方。</w:t>
      </w:r>
    </w:p>
    <w:p w14:paraId="5A6FADFF">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eastAsia"/>
          <w:sz w:val="24"/>
          <w:szCs w:val="32"/>
          <w:lang w:val="en-US" w:eastAsia="zh-CN"/>
        </w:rPr>
      </w:pPr>
      <w:r>
        <w:rPr>
          <w:rFonts w:hint="eastAsia"/>
          <w:sz w:val="24"/>
          <w:szCs w:val="32"/>
          <w:lang w:val="en-US" w:eastAsia="zh-CN"/>
        </w:rPr>
        <w:t>于是一审阶段我提出了要求证人出庭作证接受询问申请书（根据审计规则发表的意见并非是毫无保留的，被审计人员提供什么资料就按照什么资料去审计），即便有专项审计报告，也只能证明有独立的财务记账，财产并非一定独立。我提出要求法院选定第三方进行司法会计鉴定。</w:t>
      </w:r>
    </w:p>
    <w:p w14:paraId="4001917A">
      <w:pPr>
        <w:bidi w:val="0"/>
        <w:rPr>
          <w:rFonts w:hint="eastAsia"/>
          <w:lang w:val="en-US" w:eastAsia="zh-CN"/>
        </w:rPr>
      </w:pPr>
      <w:r>
        <w:drawing>
          <wp:inline distT="0" distB="0" distL="114300" distR="114300">
            <wp:extent cx="5269230" cy="4481195"/>
            <wp:effectExtent l="0" t="0" r="127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269230" cy="4481195"/>
                    </a:xfrm>
                    <a:prstGeom prst="rect">
                      <a:avLst/>
                    </a:prstGeom>
                    <a:noFill/>
                    <a:ln>
                      <a:noFill/>
                    </a:ln>
                  </pic:spPr>
                </pic:pic>
              </a:graphicData>
            </a:graphic>
          </wp:inline>
        </w:drawing>
      </w:r>
    </w:p>
    <w:p w14:paraId="1EECB5E8">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sz w:val="24"/>
          <w:szCs w:val="32"/>
          <w:lang w:val="en-US" w:eastAsia="zh-CN"/>
        </w:rPr>
      </w:pPr>
      <w:r>
        <w:rPr>
          <w:rFonts w:hint="eastAsia"/>
          <w:b/>
          <w:bCs/>
          <w:sz w:val="24"/>
          <w:szCs w:val="32"/>
          <w:lang w:val="en-US" w:eastAsia="zh-CN"/>
        </w:rPr>
        <w:t>二</w:t>
      </w:r>
      <w:r>
        <w:rPr>
          <w:rFonts w:hint="eastAsia" w:ascii="微软雅黑" w:hAnsi="微软雅黑" w:eastAsia="微软雅黑" w:cs="微软雅黑"/>
          <w:b/>
          <w:bCs/>
          <w:sz w:val="24"/>
          <w:szCs w:val="32"/>
          <w:lang w:val="en-US" w:eastAsia="zh-CN"/>
        </w:rPr>
        <w:t>、</w:t>
      </w:r>
      <w:r>
        <w:rPr>
          <w:rFonts w:hint="eastAsia"/>
          <w:b/>
          <w:bCs/>
          <w:sz w:val="24"/>
          <w:szCs w:val="32"/>
          <w:lang w:val="en-US" w:eastAsia="zh-CN"/>
        </w:rPr>
        <w:t>一审结果</w:t>
      </w:r>
    </w:p>
    <w:p w14:paraId="4D1BEDBD">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sz w:val="24"/>
          <w:szCs w:val="32"/>
          <w:lang w:val="en-US" w:eastAsia="zh-CN"/>
        </w:rPr>
      </w:pPr>
      <w:r>
        <w:rPr>
          <w:rFonts w:hint="eastAsia"/>
          <w:sz w:val="24"/>
          <w:szCs w:val="32"/>
          <w:lang w:val="en-US" w:eastAsia="zh-CN"/>
        </w:rPr>
        <w:t>可惜，</w:t>
      </w:r>
      <w:r>
        <w:rPr>
          <w:rFonts w:hint="eastAsia"/>
          <w:b/>
          <w:bCs/>
          <w:color w:val="FF0000"/>
          <w:sz w:val="24"/>
          <w:szCs w:val="32"/>
          <w:lang w:val="en-US" w:eastAsia="zh-CN"/>
        </w:rPr>
        <w:t>在一审诉讼中法院即没有同意鉴定，也没有要求对方的审计人员出庭接受询问，认定我方败诉</w:t>
      </w:r>
      <w:r>
        <w:rPr>
          <w:rFonts w:hint="eastAsia"/>
          <w:sz w:val="24"/>
          <w:szCs w:val="32"/>
          <w:lang w:val="en-US" w:eastAsia="zh-CN"/>
        </w:rPr>
        <w:t>。我方果断提出上诉。</w:t>
      </w:r>
    </w:p>
    <w:p w14:paraId="7AFD1623">
      <w:pPr>
        <w:bidi w:val="0"/>
        <w:rPr>
          <w:rFonts w:hint="default"/>
          <w:lang w:val="en-US" w:eastAsia="zh-CN"/>
        </w:rPr>
      </w:pPr>
    </w:p>
    <w:p w14:paraId="561AA566">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pPr>
    </w:p>
    <w:p w14:paraId="2DD84C0F">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pPr>
    </w:p>
    <w:p w14:paraId="505D247B">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eastAsia"/>
          <w:sz w:val="24"/>
          <w:szCs w:val="32"/>
          <w:lang w:val="en-US" w:eastAsia="zh-CN"/>
        </w:rPr>
      </w:pPr>
      <w:r>
        <w:drawing>
          <wp:inline distT="0" distB="0" distL="114300" distR="114300">
            <wp:extent cx="5271770" cy="2576195"/>
            <wp:effectExtent l="0" t="0" r="1143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1770" cy="2576195"/>
                    </a:xfrm>
                    <a:prstGeom prst="rect">
                      <a:avLst/>
                    </a:prstGeom>
                    <a:noFill/>
                    <a:ln>
                      <a:noFill/>
                    </a:ln>
                  </pic:spPr>
                </pic:pic>
              </a:graphicData>
            </a:graphic>
          </wp:inline>
        </w:drawing>
      </w:r>
      <w:r>
        <w:drawing>
          <wp:inline distT="0" distB="0" distL="114300" distR="114300">
            <wp:extent cx="5271770" cy="2576195"/>
            <wp:effectExtent l="0" t="0" r="1143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1770" cy="2576195"/>
                    </a:xfrm>
                    <a:prstGeom prst="rect">
                      <a:avLst/>
                    </a:prstGeom>
                    <a:noFill/>
                    <a:ln>
                      <a:noFill/>
                    </a:ln>
                  </pic:spPr>
                </pic:pic>
              </a:graphicData>
            </a:graphic>
          </wp:inline>
        </w:drawing>
      </w:r>
      <w:r>
        <w:drawing>
          <wp:inline distT="0" distB="0" distL="114300" distR="114300">
            <wp:extent cx="5271770" cy="2576195"/>
            <wp:effectExtent l="0" t="0" r="1143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1770" cy="2576195"/>
                    </a:xfrm>
                    <a:prstGeom prst="rect">
                      <a:avLst/>
                    </a:prstGeom>
                    <a:noFill/>
                    <a:ln>
                      <a:noFill/>
                    </a:ln>
                  </pic:spPr>
                </pic:pic>
              </a:graphicData>
            </a:graphic>
          </wp:inline>
        </w:drawing>
      </w:r>
    </w:p>
    <w:p w14:paraId="73EA7D39">
      <w:pPr>
        <w:bidi w:val="0"/>
        <w:rPr>
          <w:rFonts w:hint="eastAsia"/>
          <w:sz w:val="24"/>
          <w:szCs w:val="32"/>
          <w:lang w:val="en-US" w:eastAsia="zh-CN"/>
        </w:rPr>
      </w:pPr>
      <w:r>
        <w:drawing>
          <wp:inline distT="0" distB="0" distL="114300" distR="114300">
            <wp:extent cx="5274310" cy="44500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4450080"/>
                    </a:xfrm>
                    <a:prstGeom prst="rect">
                      <a:avLst/>
                    </a:prstGeom>
                    <a:noFill/>
                    <a:ln>
                      <a:noFill/>
                    </a:ln>
                  </pic:spPr>
                </pic:pic>
              </a:graphicData>
            </a:graphic>
          </wp:inline>
        </w:drawing>
      </w:r>
    </w:p>
    <w:p w14:paraId="780BBFDC">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b/>
          <w:bCs/>
          <w:sz w:val="24"/>
          <w:szCs w:val="32"/>
          <w:lang w:val="en-US" w:eastAsia="zh-CN"/>
        </w:rPr>
      </w:pPr>
      <w:r>
        <w:rPr>
          <w:rFonts w:hint="eastAsia"/>
          <w:b/>
          <w:bCs/>
          <w:sz w:val="24"/>
          <w:szCs w:val="32"/>
          <w:lang w:val="en-US" w:eastAsia="zh-CN"/>
        </w:rPr>
        <w:t>三</w:t>
      </w:r>
      <w:r>
        <w:rPr>
          <w:rFonts w:hint="eastAsia" w:ascii="微软雅黑" w:hAnsi="微软雅黑" w:eastAsia="微软雅黑" w:cs="微软雅黑"/>
          <w:b/>
          <w:bCs/>
          <w:sz w:val="24"/>
          <w:szCs w:val="32"/>
          <w:lang w:val="en-US" w:eastAsia="zh-CN"/>
        </w:rPr>
        <w:t>、</w:t>
      </w:r>
      <w:r>
        <w:rPr>
          <w:rFonts w:hint="eastAsia"/>
          <w:b/>
          <w:bCs/>
          <w:sz w:val="24"/>
          <w:szCs w:val="32"/>
          <w:lang w:val="en-US" w:eastAsia="zh-CN"/>
        </w:rPr>
        <w:t>二审情况</w:t>
      </w:r>
    </w:p>
    <w:p w14:paraId="3312C18D">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sz w:val="24"/>
          <w:szCs w:val="32"/>
          <w:lang w:val="en-US" w:eastAsia="zh-CN"/>
        </w:rPr>
      </w:pPr>
      <w:r>
        <w:rPr>
          <w:rFonts w:hint="eastAsia"/>
          <w:sz w:val="24"/>
          <w:szCs w:val="32"/>
          <w:lang w:val="en-US" w:eastAsia="zh-CN"/>
        </w:rPr>
        <w:t xml:space="preserve"> 二审期间，如果能够证明目前公司还是只有一个股东，依然还存在滥用权利的行为或者审计报告不可信，那么还有机会。于是我们上诉提出了以下几个观点，争取有无转机。</w:t>
      </w:r>
    </w:p>
    <w:p w14:paraId="7B6AE141">
      <w:pPr>
        <w:keepNext w:val="0"/>
        <w:keepLines w:val="0"/>
        <w:pageBreakBefore w:val="0"/>
        <w:wordWrap/>
        <w:overflowPunct/>
        <w:topLinePunct w:val="0"/>
        <w:bidi w:val="0"/>
        <w:spacing w:line="460" w:lineRule="exact"/>
        <w:jc w:val="both"/>
        <w:rPr>
          <w:rFonts w:hint="eastAsia"/>
          <w:sz w:val="22"/>
          <w:szCs w:val="28"/>
          <w:lang w:val="en-US" w:eastAsia="zh-CN"/>
        </w:rPr>
      </w:pPr>
      <w:r>
        <w:rPr>
          <w:rFonts w:hint="eastAsia"/>
          <w:sz w:val="24"/>
          <w:szCs w:val="32"/>
          <w:lang w:val="en-US" w:eastAsia="zh-CN"/>
        </w:rPr>
        <w:t xml:space="preserve">     </w:t>
      </w:r>
      <w:r>
        <w:rPr>
          <w:rFonts w:hint="eastAsia" w:ascii="微软雅黑" w:hAnsi="微软雅黑" w:eastAsia="微软雅黑" w:cs="微软雅黑"/>
          <w:sz w:val="22"/>
          <w:szCs w:val="28"/>
          <w:lang w:val="en-US" w:eastAsia="zh-CN"/>
        </w:rPr>
        <w:t>1、不能仅以工商变更登记显名股东简单判断原股东不再是公司股东</w:t>
      </w:r>
      <w:r>
        <w:rPr>
          <w:rFonts w:hint="eastAsia"/>
          <w:b/>
          <w:bCs/>
          <w:sz w:val="22"/>
          <w:szCs w:val="28"/>
          <w:lang w:val="en-US" w:eastAsia="zh-CN"/>
        </w:rPr>
        <w:t>。</w:t>
      </w:r>
      <w:r>
        <w:rPr>
          <w:rFonts w:hint="eastAsia"/>
          <w:sz w:val="22"/>
          <w:szCs w:val="28"/>
          <w:lang w:val="en-US" w:eastAsia="zh-CN"/>
        </w:rPr>
        <w:t>工商变更登记只是显名登记，显名登记的股东是法律意义上的股东，未被登记的股东也是法律意义上的股东，即实践中一般称之“隐名股东”</w:t>
      </w:r>
    </w:p>
    <w:p w14:paraId="5D4F032E">
      <w:pPr>
        <w:keepNext w:val="0"/>
        <w:keepLines w:val="0"/>
        <w:pageBreakBefore w:val="0"/>
        <w:wordWrap/>
        <w:overflowPunct/>
        <w:topLinePunct w:val="0"/>
        <w:bidi w:val="0"/>
        <w:spacing w:line="460" w:lineRule="exact"/>
        <w:jc w:val="both"/>
        <w:rPr>
          <w:rFonts w:hint="default"/>
          <w:sz w:val="22"/>
          <w:szCs w:val="28"/>
          <w:lang w:val="en-US" w:eastAsia="zh-CN"/>
        </w:rPr>
      </w:pPr>
      <w:r>
        <w:rPr>
          <w:rFonts w:hint="eastAsia"/>
          <w:sz w:val="22"/>
          <w:szCs w:val="28"/>
          <w:lang w:val="en-US" w:eastAsia="zh-CN"/>
        </w:rPr>
        <w:t xml:space="preserve">   我们认为我们已经完成初步举证，本案明显债务发生后转让给2个高龄老人，应当合理分配举证责任，证明有实际参与公司的管理方面的证据，能够出庭接受询问是否是自愿受让股权。</w:t>
      </w:r>
    </w:p>
    <w:p w14:paraId="75B3E9E9">
      <w:pPr>
        <w:keepNext w:val="0"/>
        <w:keepLines w:val="0"/>
        <w:pageBreakBefore w:val="0"/>
        <w:wordWrap/>
        <w:overflowPunct/>
        <w:topLinePunct w:val="0"/>
        <w:bidi w:val="0"/>
        <w:spacing w:line="460" w:lineRule="exact"/>
        <w:ind w:firstLine="440"/>
        <w:jc w:val="both"/>
        <w:rPr>
          <w:rFonts w:hint="default" w:ascii="微软雅黑" w:hAnsi="微软雅黑" w:eastAsia="微软雅黑" w:cs="微软雅黑"/>
          <w:sz w:val="22"/>
          <w:szCs w:val="28"/>
          <w:lang w:val="en-US" w:eastAsia="zh-CN"/>
        </w:rPr>
      </w:pPr>
      <w:r>
        <w:rPr>
          <w:rFonts w:hint="eastAsia"/>
          <w:sz w:val="22"/>
          <w:szCs w:val="28"/>
          <w:lang w:val="en-US" w:eastAsia="zh-CN"/>
        </w:rPr>
        <w:t>2</w:t>
      </w:r>
      <w:r>
        <w:rPr>
          <w:rFonts w:hint="eastAsia" w:ascii="微软雅黑" w:hAnsi="微软雅黑" w:eastAsia="微软雅黑" w:cs="微软雅黑"/>
          <w:sz w:val="22"/>
          <w:szCs w:val="28"/>
          <w:lang w:val="en-US" w:eastAsia="zh-CN"/>
        </w:rPr>
        <w:t>、专项审计报告并非是王牌，违法出具审计报告的情况累见不鲜。</w:t>
      </w:r>
    </w:p>
    <w:p w14:paraId="79962611">
      <w:pPr>
        <w:keepNext w:val="0"/>
        <w:keepLines w:val="0"/>
        <w:pageBreakBefore w:val="0"/>
        <w:wordWrap/>
        <w:overflowPunct/>
        <w:topLinePunct w:val="0"/>
        <w:bidi w:val="0"/>
        <w:spacing w:line="460" w:lineRule="exact"/>
        <w:ind w:firstLine="440" w:firstLineChars="200"/>
        <w:jc w:val="both"/>
        <w:rPr>
          <w:rFonts w:hint="eastAsia"/>
          <w:sz w:val="22"/>
          <w:szCs w:val="28"/>
          <w:lang w:val="en-US" w:eastAsia="zh-CN"/>
        </w:rPr>
      </w:pPr>
      <w:r>
        <w:rPr>
          <w:rFonts w:hint="eastAsia"/>
          <w:sz w:val="22"/>
          <w:szCs w:val="28"/>
          <w:lang w:val="en-US" w:eastAsia="zh-CN"/>
        </w:rPr>
        <w:t>虽然有常规审计报告，但是常规审计报告并没有发表财产独立性意见，涉案专项审计报告是在起诉之后才聘请第三方出具的，加上之前我们发现存在数据偏差和异常的情况，我们有利于相信该审计报告不可信，要求重新鉴定。</w:t>
      </w:r>
    </w:p>
    <w:p w14:paraId="3D5C3032">
      <w:pPr>
        <w:keepNext w:val="0"/>
        <w:keepLines w:val="0"/>
        <w:pageBreakBefore w:val="0"/>
        <w:wordWrap/>
        <w:overflowPunct/>
        <w:topLinePunct w:val="0"/>
        <w:bidi w:val="0"/>
        <w:spacing w:line="460" w:lineRule="exact"/>
        <w:ind w:firstLine="440"/>
        <w:jc w:val="both"/>
        <w:rPr>
          <w:rFonts w:hint="default" w:ascii="微软雅黑" w:hAnsi="微软雅黑" w:eastAsia="微软雅黑" w:cs="微软雅黑"/>
          <w:sz w:val="22"/>
          <w:szCs w:val="28"/>
          <w:lang w:val="en-US" w:eastAsia="zh-CN"/>
        </w:rPr>
      </w:pPr>
      <w:r>
        <w:rPr>
          <w:rFonts w:hint="eastAsia"/>
          <w:sz w:val="22"/>
          <w:szCs w:val="28"/>
          <w:lang w:val="en-US" w:eastAsia="zh-CN"/>
        </w:rPr>
        <w:t>3</w:t>
      </w:r>
      <w:r>
        <w:rPr>
          <w:rFonts w:hint="eastAsia" w:ascii="微软雅黑" w:hAnsi="微软雅黑" w:eastAsia="微软雅黑" w:cs="微软雅黑"/>
          <w:sz w:val="22"/>
          <w:szCs w:val="28"/>
          <w:lang w:val="en-US" w:eastAsia="zh-CN"/>
        </w:rPr>
        <w:t>、新证据，发现公司发函让债务人付款不要付款到公司，而是付款到原来股东的公司账户。</w:t>
      </w:r>
    </w:p>
    <w:p w14:paraId="383ABDC4">
      <w:pPr>
        <w:keepNext w:val="0"/>
        <w:keepLines w:val="0"/>
        <w:pageBreakBefore w:val="0"/>
        <w:wordWrap/>
        <w:overflowPunct/>
        <w:topLinePunct w:val="0"/>
        <w:bidi w:val="0"/>
        <w:spacing w:line="460" w:lineRule="exact"/>
        <w:ind w:firstLine="440" w:firstLineChars="200"/>
        <w:jc w:val="both"/>
        <w:rPr>
          <w:rFonts w:hint="eastAsia"/>
          <w:sz w:val="22"/>
          <w:szCs w:val="28"/>
          <w:lang w:val="en-US" w:eastAsia="zh-CN"/>
        </w:rPr>
      </w:pPr>
      <w:r>
        <w:rPr>
          <w:rFonts w:hint="eastAsia"/>
          <w:sz w:val="22"/>
          <w:szCs w:val="28"/>
          <w:lang w:val="en-US" w:eastAsia="zh-CN"/>
        </w:rPr>
        <w:t>我们提出要求申请调取银行流水，以证明该证据的真实性，证明原来股东依然控制公司，至少存在协助公司转移资产的侵权行为。</w:t>
      </w:r>
    </w:p>
    <w:p w14:paraId="0BA81F83">
      <w:pPr>
        <w:keepNext w:val="0"/>
        <w:keepLines w:val="0"/>
        <w:pageBreakBefore w:val="0"/>
        <w:wordWrap/>
        <w:overflowPunct/>
        <w:topLinePunct w:val="0"/>
        <w:bidi w:val="0"/>
        <w:spacing w:line="460" w:lineRule="exact"/>
        <w:ind w:firstLine="440" w:firstLineChars="200"/>
        <w:jc w:val="both"/>
        <w:rPr>
          <w:rFonts w:hint="default"/>
          <w:sz w:val="22"/>
          <w:szCs w:val="28"/>
          <w:lang w:val="en-US" w:eastAsia="zh-CN"/>
        </w:rPr>
      </w:pPr>
    </w:p>
    <w:p w14:paraId="2BEB2C73">
      <w:pPr>
        <w:keepNext w:val="0"/>
        <w:keepLines w:val="0"/>
        <w:pageBreakBefore w:val="0"/>
        <w:wordWrap/>
        <w:overflowPunct/>
        <w:topLinePunct w:val="0"/>
        <w:bidi w:val="0"/>
        <w:spacing w:line="460" w:lineRule="exact"/>
        <w:ind w:firstLine="440" w:firstLineChars="200"/>
        <w:jc w:val="both"/>
        <w:rPr>
          <w:rFonts w:hint="eastAsia"/>
          <w:sz w:val="22"/>
          <w:szCs w:val="28"/>
          <w:lang w:val="en-US" w:eastAsia="zh-CN"/>
        </w:rPr>
      </w:pPr>
      <w:r>
        <w:rPr>
          <w:rFonts w:hint="eastAsia"/>
          <w:sz w:val="22"/>
          <w:szCs w:val="28"/>
          <w:lang w:val="en-US" w:eastAsia="zh-CN"/>
        </w:rPr>
        <w:t xml:space="preserve"> 最终，在不断努力下，二审法院认为本案及其不合理，但也不能随意否定专业人员出具的审计报告，计既然一审提出鉴定没有鉴定，那么就发回重审吧。</w:t>
      </w:r>
    </w:p>
    <w:p w14:paraId="2E7094D1">
      <w:pPr>
        <w:bidi w:val="0"/>
        <w:rPr>
          <w:rFonts w:hint="default"/>
          <w:lang w:val="en-US" w:eastAsia="zh-CN"/>
        </w:rPr>
      </w:pPr>
      <w:r>
        <w:drawing>
          <wp:inline distT="0" distB="0" distL="114300" distR="114300">
            <wp:extent cx="5273675" cy="4338955"/>
            <wp:effectExtent l="0" t="0" r="9525" b="44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273675" cy="4338955"/>
                    </a:xfrm>
                    <a:prstGeom prst="rect">
                      <a:avLst/>
                    </a:prstGeom>
                    <a:noFill/>
                    <a:ln>
                      <a:noFill/>
                    </a:ln>
                  </pic:spPr>
                </pic:pic>
              </a:graphicData>
            </a:graphic>
          </wp:inline>
        </w:drawing>
      </w:r>
    </w:p>
    <w:p w14:paraId="6238F373">
      <w:pPr>
        <w:keepNext w:val="0"/>
        <w:keepLines w:val="0"/>
        <w:pageBreakBefore w:val="0"/>
        <w:wordWrap/>
        <w:overflowPunct/>
        <w:topLinePunct w:val="0"/>
        <w:bidi w:val="0"/>
        <w:spacing w:line="460" w:lineRule="exact"/>
        <w:ind w:firstLine="440" w:firstLineChars="200"/>
        <w:jc w:val="both"/>
        <w:rPr>
          <w:rFonts w:hint="eastAsia"/>
          <w:sz w:val="22"/>
          <w:szCs w:val="28"/>
          <w:lang w:val="en-US" w:eastAsia="zh-CN"/>
        </w:rPr>
      </w:pPr>
    </w:p>
    <w:p w14:paraId="40A442F1">
      <w:pPr>
        <w:bidi w:val="0"/>
        <w:rPr>
          <w:rFonts w:hint="eastAsia"/>
          <w:lang w:val="en-US" w:eastAsia="zh-CN"/>
        </w:rPr>
      </w:pPr>
      <w:r>
        <w:drawing>
          <wp:inline distT="0" distB="0" distL="114300" distR="114300">
            <wp:extent cx="5269865" cy="4455160"/>
            <wp:effectExtent l="0" t="0" r="635" b="25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a:stretch>
                      <a:fillRect/>
                    </a:stretch>
                  </pic:blipFill>
                  <pic:spPr>
                    <a:xfrm>
                      <a:off x="0" y="0"/>
                      <a:ext cx="5269865" cy="4455160"/>
                    </a:xfrm>
                    <a:prstGeom prst="rect">
                      <a:avLst/>
                    </a:prstGeom>
                    <a:noFill/>
                    <a:ln>
                      <a:noFill/>
                    </a:ln>
                  </pic:spPr>
                </pic:pic>
              </a:graphicData>
            </a:graphic>
          </wp:inline>
        </w:drawing>
      </w:r>
    </w:p>
    <w:p w14:paraId="15E30096">
      <w:pPr>
        <w:keepNext w:val="0"/>
        <w:keepLines w:val="0"/>
        <w:pageBreakBefore w:val="0"/>
        <w:wordWrap/>
        <w:overflowPunct/>
        <w:topLinePunct w:val="0"/>
        <w:bidi w:val="0"/>
        <w:spacing w:line="460" w:lineRule="exact"/>
        <w:ind w:firstLine="440" w:firstLineChars="200"/>
        <w:jc w:val="both"/>
        <w:rPr>
          <w:rFonts w:hint="eastAsia"/>
          <w:sz w:val="22"/>
          <w:szCs w:val="28"/>
          <w:lang w:val="en-US" w:eastAsia="zh-CN"/>
        </w:rPr>
      </w:pPr>
    </w:p>
    <w:p w14:paraId="34BC5984">
      <w:pPr>
        <w:keepNext w:val="0"/>
        <w:keepLines w:val="0"/>
        <w:pageBreakBefore w:val="0"/>
        <w:wordWrap/>
        <w:overflowPunct/>
        <w:topLinePunct w:val="0"/>
        <w:bidi w:val="0"/>
        <w:spacing w:line="460" w:lineRule="exact"/>
        <w:ind w:firstLine="440" w:firstLineChars="200"/>
        <w:jc w:val="both"/>
        <w:rPr>
          <w:rFonts w:hint="default"/>
          <w:sz w:val="22"/>
          <w:szCs w:val="28"/>
          <w:lang w:val="en-US" w:eastAsia="zh-CN"/>
        </w:rPr>
      </w:pPr>
    </w:p>
    <w:p w14:paraId="0AEC31A0">
      <w:pPr>
        <w:keepNext w:val="0"/>
        <w:keepLines w:val="0"/>
        <w:pageBreakBefore w:val="0"/>
        <w:widowControl w:val="0"/>
        <w:kinsoku/>
        <w:wordWrap/>
        <w:overflowPunct/>
        <w:topLinePunct w:val="0"/>
        <w:autoSpaceDE/>
        <w:autoSpaceDN/>
        <w:bidi w:val="0"/>
        <w:adjustRightInd/>
        <w:snapToGrid/>
        <w:spacing w:line="480" w:lineRule="exact"/>
        <w:ind w:firstLine="480"/>
        <w:jc w:val="both"/>
        <w:textAlignment w:val="auto"/>
        <w:rPr>
          <w:rFonts w:hint="default"/>
          <w:sz w:val="24"/>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8F1DB4"/>
    <w:rsid w:val="688F1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2025-01-05T03:03:00Z</dcterms:created>
  <dc:creator>偶的快乐点点滴滴</dc:creator>
  <cp:lastModifiedBy>偶的快乐点点滴滴</cp:lastModifiedBy>
  <dcterms:modified xsi:type="dcterms:W3CDTF">2025-01-05T04:21:31Z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78DE8D34645C41099CE832FAF4E87DF3_11</vt:lpwstr>
  </property>
  <property fmtid="{D5CDD505-2E9C-101B-9397-08002B2CF9AE}" pid="4" name="KSOTemplateDocerSaveRecord">
    <vt:lpwstr>eyJoZGlkIjoiNTU0ZmIwYTQ3NzlmZGUxZmU3Zjk0M2IyZTNmM2IxNjAiLCJ1c2VySWQiOiIxOTMyMzMwMiJ9</vt:lpwstr>
  </property>
</Properties>
</file>